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504FA" w14:textId="20789177" w:rsidR="00B764AF" w:rsidRPr="00F542A0" w:rsidRDefault="00B764AF" w:rsidP="00B764AF">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8</w:t>
      </w:r>
      <w:r w:rsidRPr="00F542A0">
        <w:rPr>
          <w:rFonts w:eastAsia="SimSun" w:cs="Arial"/>
          <w:sz w:val="24"/>
          <w:szCs w:val="24"/>
        </w:rPr>
        <w:tab/>
      </w:r>
      <w:r w:rsidR="00C12CB6" w:rsidRPr="00C12CB6">
        <w:rPr>
          <w:rFonts w:eastAsia="SimSun" w:cs="Arial"/>
          <w:sz w:val="24"/>
          <w:szCs w:val="24"/>
        </w:rPr>
        <w:t>R4-2600550</w:t>
      </w:r>
    </w:p>
    <w:p w14:paraId="3A8C9DB3" w14:textId="77777777" w:rsidR="00B764AF" w:rsidRPr="00F542A0" w:rsidRDefault="00B764AF" w:rsidP="00B764A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Gothenburg, Sweden, Feb 9</w:t>
      </w:r>
      <w:r w:rsidRPr="00F542A0">
        <w:rPr>
          <w:rFonts w:eastAsia="SimSun" w:cs="Arial"/>
          <w:sz w:val="24"/>
          <w:szCs w:val="24"/>
        </w:rPr>
        <w:t xml:space="preserve"> – </w:t>
      </w:r>
      <w:r>
        <w:rPr>
          <w:rFonts w:eastAsia="SimSun" w:cs="Arial"/>
          <w:sz w:val="24"/>
          <w:szCs w:val="24"/>
        </w:rPr>
        <w:t>13</w:t>
      </w:r>
      <w:r w:rsidRPr="00F542A0">
        <w:rPr>
          <w:rFonts w:eastAsia="SimSun" w:cs="Arial"/>
          <w:sz w:val="24"/>
          <w:szCs w:val="24"/>
        </w:rPr>
        <w:t>, 202</w:t>
      </w:r>
      <w:r>
        <w:rPr>
          <w:rFonts w:eastAsia="SimSun" w:cs="Arial"/>
          <w:sz w:val="24"/>
          <w:szCs w:val="24"/>
        </w:rPr>
        <w:t>6</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3DA47749"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125E91">
        <w:rPr>
          <w:rFonts w:ascii="Arial" w:hAnsi="Arial" w:cs="Arial"/>
          <w:b/>
          <w:sz w:val="22"/>
          <w:szCs w:val="22"/>
        </w:rPr>
        <w:t>4.25.3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9C6468F"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F12C0" w:rsidRPr="00EF12C0">
        <w:rPr>
          <w:rFonts w:ascii="Arial" w:hAnsi="Arial" w:cs="Arial"/>
          <w:b/>
          <w:sz w:val="22"/>
          <w:szCs w:val="22"/>
        </w:rPr>
        <w:t>On R19 NTN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167426CE" w:rsidR="00CD3CF7" w:rsidRDefault="00CD3CF7" w:rsidP="00CD3CF7">
      <w:pPr>
        <w:jc w:val="both"/>
      </w:pPr>
      <w:r>
        <w:rPr>
          <w:rFonts w:hint="eastAsia"/>
        </w:rPr>
        <w:t>T</w:t>
      </w:r>
      <w:r w:rsidRPr="003302A0">
        <w:t xml:space="preserve">he </w:t>
      </w:r>
      <w:r>
        <w:t xml:space="preserve">open issues </w:t>
      </w:r>
      <w:r w:rsidR="00166286">
        <w:t xml:space="preserve">of </w:t>
      </w:r>
      <w:r w:rsidR="00166286">
        <w:rPr>
          <w:rFonts w:hint="eastAsia"/>
        </w:rPr>
        <w:t>coverage enhancement</w:t>
      </w:r>
      <w:r w:rsidR="00166286">
        <w:t xml:space="preserve"> </w:t>
      </w:r>
      <w:r>
        <w:t>have been summarized in the t</w:t>
      </w:r>
      <w:r w:rsidRPr="00A34030">
        <w:t xml:space="preserve">opic summary for </w:t>
      </w:r>
      <w:r w:rsidR="006641D2" w:rsidRPr="006641D2">
        <w:rPr>
          <w:rFonts w:eastAsia="DengXian"/>
        </w:rPr>
        <w:t xml:space="preserve">[117][325] </w:t>
      </w:r>
      <w:proofErr w:type="spellStart"/>
      <w:r w:rsidR="006641D2" w:rsidRPr="006641D2">
        <w:rPr>
          <w:rFonts w:eastAsia="DengXian"/>
        </w:rPr>
        <w:t>NR_IoT_NTN_Maintenance_RRM</w:t>
      </w:r>
      <w:proofErr w:type="spellEnd"/>
      <w:r w:rsidR="000F13B6">
        <w:t xml:space="preserve"> </w:t>
      </w:r>
      <w:r>
        <w:t>[</w:t>
      </w:r>
      <w:r w:rsidR="00B31F0A">
        <w:t>1</w:t>
      </w:r>
      <w:r>
        <w:t xml:space="preserve">]. </w:t>
      </w:r>
    </w:p>
    <w:p w14:paraId="485E75B3" w14:textId="315BB95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w:t>
      </w:r>
      <w:r w:rsidR="00953C35" w:rsidRPr="00953C35">
        <w:t>RRM requirements</w:t>
      </w:r>
      <w:r w:rsidR="00953C35">
        <w:t xml:space="preserve"> for R19 NTN</w:t>
      </w:r>
      <w:r w:rsidR="00166286">
        <w:rPr>
          <w:rFonts w:hint="eastAsia"/>
        </w:rPr>
        <w:t xml:space="preserve"> DL coverage</w:t>
      </w:r>
      <w:r w:rsidR="00166286">
        <w:t xml:space="preserve"> </w:t>
      </w:r>
      <w:r w:rsidR="00166286">
        <w:rPr>
          <w:rFonts w:hint="eastAsia"/>
        </w:rPr>
        <w:t>enhancement</w:t>
      </w:r>
      <w:r>
        <w:t>.</w:t>
      </w:r>
    </w:p>
    <w:p w14:paraId="3733507B" w14:textId="0C8371EF" w:rsidR="00BF237C" w:rsidRDefault="00BF237C" w:rsidP="00BF237C">
      <w:pPr>
        <w:pStyle w:val="Heading1"/>
        <w:numPr>
          <w:ilvl w:val="0"/>
          <w:numId w:val="10"/>
        </w:numPr>
        <w:pBdr>
          <w:top w:val="single" w:sz="12" w:space="2" w:color="auto"/>
        </w:pBdr>
        <w:jc w:val="both"/>
        <w:rPr>
          <w:sz w:val="32"/>
        </w:rPr>
      </w:pPr>
      <w:r w:rsidRPr="00BF237C">
        <w:rPr>
          <w:sz w:val="32"/>
        </w:rPr>
        <w:t xml:space="preserve">Topic #1: SSB periodicity larger than 20 </w:t>
      </w:r>
      <w:proofErr w:type="spellStart"/>
      <w:r w:rsidRPr="00BF237C">
        <w:rPr>
          <w:sz w:val="32"/>
        </w:rPr>
        <w:t>ms</w:t>
      </w:r>
      <w:proofErr w:type="spellEnd"/>
    </w:p>
    <w:p w14:paraId="532F367B" w14:textId="2DE1B6AC" w:rsidR="00716DE0" w:rsidRDefault="006641D2" w:rsidP="00716DE0">
      <w:pPr>
        <w:rPr>
          <w:b/>
          <w:bCs/>
          <w:color w:val="000000" w:themeColor="text1"/>
        </w:rPr>
      </w:pPr>
      <w:r w:rsidRPr="006641D2">
        <w:rPr>
          <w:b/>
          <w:bCs/>
          <w:color w:val="000000" w:themeColor="text1"/>
          <w:u w:val="single"/>
        </w:rPr>
        <w:t>Sub-topic 2-3</w:t>
      </w:r>
      <w:r w:rsidRPr="006641D2">
        <w:rPr>
          <w:b/>
          <w:bCs/>
          <w:color w:val="000000" w:themeColor="text1"/>
        </w:rPr>
        <w:t xml:space="preserve"> LS</w:t>
      </w:r>
      <w:r>
        <w:rPr>
          <w:b/>
          <w:bCs/>
          <w:color w:val="000000" w:themeColor="text1"/>
        </w:rPr>
        <w:t>:</w:t>
      </w:r>
      <w:r w:rsidR="00716DE0" w:rsidRPr="00716DE0">
        <w:rPr>
          <w:b/>
          <w:bCs/>
          <w:color w:val="000000" w:themeColor="text1"/>
        </w:rPr>
        <w:t xml:space="preserve"> Clarification for RACH transmission in case of satellite beam hopping</w:t>
      </w:r>
    </w:p>
    <w:tbl>
      <w:tblPr>
        <w:tblStyle w:val="TableGrid"/>
        <w:tblW w:w="0" w:type="auto"/>
        <w:tblLook w:val="04A0" w:firstRow="1" w:lastRow="0" w:firstColumn="1" w:lastColumn="0" w:noHBand="0" w:noVBand="1"/>
      </w:tblPr>
      <w:tblGrid>
        <w:gridCol w:w="9962"/>
      </w:tblGrid>
      <w:tr w:rsidR="006641D2" w14:paraId="0D122141" w14:textId="77777777" w:rsidTr="006641D2">
        <w:tc>
          <w:tcPr>
            <w:tcW w:w="9962" w:type="dxa"/>
          </w:tcPr>
          <w:p w14:paraId="23CE8FAD" w14:textId="77777777" w:rsidR="006641D2" w:rsidRDefault="006641D2" w:rsidP="006641D2">
            <w:r>
              <w:rPr>
                <w:bCs/>
                <w:color w:val="5B9BD5" w:themeColor="accent1"/>
              </w:rPr>
              <w:t>Proposal 1:</w:t>
            </w:r>
            <w:r>
              <w:rPr>
                <w:b/>
                <w:bCs/>
                <w:lang w:val="en-GB"/>
              </w:rPr>
              <w:t xml:space="preserve"> </w:t>
            </w:r>
            <w:r>
              <w:t>RAN4 to reconsider the scheduling restriction applicability for DL coverage enhancement, e.g., scheduling restriction for RACH transmission if serving satellite hopped away the beam to not cover the footprint of target UE (Apple)</w:t>
            </w:r>
          </w:p>
          <w:p w14:paraId="466AB2A5" w14:textId="77777777" w:rsidR="006641D2" w:rsidRDefault="006641D2" w:rsidP="006641D2">
            <w:pPr>
              <w:rPr>
                <w:color w:val="000000" w:themeColor="text1"/>
                <w:u w:val="single"/>
              </w:rPr>
            </w:pPr>
            <w:r>
              <w:rPr>
                <w:bCs/>
                <w:color w:val="5B9BD5" w:themeColor="accent1"/>
              </w:rPr>
              <w:t xml:space="preserve">Proposal 2: </w:t>
            </w:r>
            <w:r>
              <w:rPr>
                <w:bCs/>
              </w:rPr>
              <w:t xml:space="preserve">(in the LS </w:t>
            </w:r>
            <w:hyperlink r:id="rId8" w:tgtFrame="_blank" w:history="1">
              <w:r>
                <w:rPr>
                  <w:bCs/>
                </w:rPr>
                <w:t>R4-2521642</w:t>
              </w:r>
            </w:hyperlink>
            <w:r>
              <w:rPr>
                <w:bCs/>
              </w:rPr>
              <w:t xml:space="preserve">, </w:t>
            </w:r>
            <w:r>
              <w:rPr>
                <w:rFonts w:hint="eastAsia"/>
                <w:bCs/>
              </w:rPr>
              <w:t xml:space="preserve">Huawei, </w:t>
            </w:r>
            <w:proofErr w:type="spellStart"/>
            <w:r>
              <w:rPr>
                <w:rFonts w:hint="eastAsia"/>
                <w:bCs/>
              </w:rPr>
              <w:t>HiSilicon</w:t>
            </w:r>
            <w:proofErr w:type="spellEnd"/>
            <w:r>
              <w:rPr>
                <w:bCs/>
              </w:rPr>
              <w:t>), includes the topic raised in Proposal 1.</w:t>
            </w:r>
            <w:r>
              <w:rPr>
                <w:bCs/>
                <w:color w:val="5B9BD5" w:themeColor="accent1"/>
              </w:rPr>
              <w:br/>
            </w:r>
          </w:p>
          <w:p w14:paraId="290056E4" w14:textId="51A25839" w:rsidR="006641D2" w:rsidRPr="006641D2" w:rsidRDefault="006641D2" w:rsidP="00716DE0">
            <w:pPr>
              <w:rPr>
                <w:bCs/>
                <w:color w:val="5B9BD5" w:themeColor="accent1"/>
              </w:rPr>
            </w:pPr>
            <w:r>
              <w:rPr>
                <w:color w:val="000000" w:themeColor="text1"/>
                <w:u w:val="single"/>
              </w:rPr>
              <w:t xml:space="preserve">WF: </w:t>
            </w:r>
            <w:r>
              <w:rPr>
                <w:bCs/>
                <w:color w:val="5B9BD5" w:themeColor="accent1"/>
              </w:rPr>
              <w:t>Moderator suggests companies work together on unifying views in the LS out.</w:t>
            </w:r>
          </w:p>
        </w:tc>
      </w:tr>
    </w:tbl>
    <w:p w14:paraId="152C5E7E" w14:textId="77777777" w:rsidR="006641D2" w:rsidRPr="00716DE0" w:rsidRDefault="006641D2" w:rsidP="00716DE0">
      <w:pPr>
        <w:rPr>
          <w:b/>
          <w:bCs/>
          <w:color w:val="000000" w:themeColor="text1"/>
        </w:rPr>
      </w:pPr>
    </w:p>
    <w:p w14:paraId="432290B6" w14:textId="29B05408" w:rsidR="00366588" w:rsidRDefault="00366588" w:rsidP="00F15E4D">
      <w:pPr>
        <w:spacing w:before="0" w:beforeAutospacing="0"/>
        <w:ind w:left="30"/>
        <w:jc w:val="both"/>
        <w:rPr>
          <w:lang w:val="en-GB"/>
        </w:rPr>
      </w:pPr>
      <w:r>
        <w:rPr>
          <w:lang w:val="en-GB"/>
        </w:rPr>
        <w:t xml:space="preserve">In </w:t>
      </w:r>
      <w:r w:rsidR="006641D2">
        <w:rPr>
          <w:lang w:val="en-GB"/>
        </w:rPr>
        <w:t>previous</w:t>
      </w:r>
      <w:r>
        <w:rPr>
          <w:lang w:val="en-GB"/>
        </w:rPr>
        <w:t xml:space="preserve"> RAN1 </w:t>
      </w:r>
      <w:r w:rsidRPr="00366588">
        <w:rPr>
          <w:lang w:val="en-GB"/>
        </w:rPr>
        <w:t xml:space="preserve">FL Summary #4: NR-NTN downlink coverage enhancements </w:t>
      </w:r>
      <w:r>
        <w:rPr>
          <w:lang w:val="en-GB"/>
        </w:rPr>
        <w:t>(R1-2501728), following issue was discussed:</w:t>
      </w:r>
    </w:p>
    <w:tbl>
      <w:tblPr>
        <w:tblStyle w:val="TableGrid"/>
        <w:tblW w:w="0" w:type="auto"/>
        <w:tblInd w:w="30" w:type="dxa"/>
        <w:tblLook w:val="04A0" w:firstRow="1" w:lastRow="0" w:firstColumn="1" w:lastColumn="0" w:noHBand="0" w:noVBand="1"/>
      </w:tblPr>
      <w:tblGrid>
        <w:gridCol w:w="9932"/>
      </w:tblGrid>
      <w:tr w:rsidR="00366588" w14:paraId="6A2B51B1" w14:textId="77777777" w:rsidTr="00366588">
        <w:tc>
          <w:tcPr>
            <w:tcW w:w="9962" w:type="dxa"/>
          </w:tcPr>
          <w:p w14:paraId="327268CD" w14:textId="7BC46615" w:rsidR="00366588" w:rsidRDefault="00366588" w:rsidP="00F15E4D">
            <w:pPr>
              <w:spacing w:before="0" w:beforeAutospacing="0"/>
              <w:jc w:val="both"/>
              <w:rPr>
                <w:lang w:val="en-GB"/>
              </w:rPr>
            </w:pPr>
            <w:r>
              <w:rPr>
                <w:noProof/>
                <w:lang w:val="en-GB"/>
              </w:rPr>
              <w:lastRenderedPageBreak/>
              <w:drawing>
                <wp:inline distT="0" distB="0" distL="0" distR="0" wp14:anchorId="388D2B97" wp14:editId="3DE3F767">
                  <wp:extent cx="6332220" cy="1814195"/>
                  <wp:effectExtent l="0" t="0" r="5080" b="1905"/>
                  <wp:docPr id="210022546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225463" name="Picture 2" descr="A screenshot of a comput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814195"/>
                          </a:xfrm>
                          <a:prstGeom prst="rect">
                            <a:avLst/>
                          </a:prstGeom>
                        </pic:spPr>
                      </pic:pic>
                    </a:graphicData>
                  </a:graphic>
                </wp:inline>
              </w:drawing>
            </w:r>
          </w:p>
        </w:tc>
      </w:tr>
    </w:tbl>
    <w:p w14:paraId="0A24E91A" w14:textId="167C4C5F" w:rsidR="00FC3E4D" w:rsidRDefault="00366588" w:rsidP="00366588">
      <w:pPr>
        <w:spacing w:before="0" w:beforeAutospacing="0"/>
        <w:jc w:val="both"/>
        <w:rPr>
          <w:lang w:val="en-GB"/>
        </w:rPr>
      </w:pPr>
      <w:r>
        <w:rPr>
          <w:lang w:val="en-GB"/>
        </w:rPr>
        <w:t xml:space="preserve">However, no conclusion has been achieved in last RAN1 meeting. </w:t>
      </w:r>
      <w:r w:rsidR="00FC3E4D">
        <w:rPr>
          <w:lang w:val="en-GB"/>
        </w:rPr>
        <w:t xml:space="preserve">In the current TN FR1 scheduling restriction for L1 or L3 measurement, it has two main kinds: </w:t>
      </w:r>
    </w:p>
    <w:p w14:paraId="48804F62" w14:textId="434A2AD7" w:rsidR="00FC3E4D" w:rsidRPr="00FC3E4D" w:rsidRDefault="00FC3E4D" w:rsidP="00FC3E4D">
      <w:pPr>
        <w:pStyle w:val="ListParagraph"/>
        <w:numPr>
          <w:ilvl w:val="0"/>
          <w:numId w:val="97"/>
        </w:numPr>
        <w:spacing w:before="0" w:beforeAutospacing="0" w:line="240" w:lineRule="auto"/>
        <w:ind w:firstLineChars="0"/>
        <w:jc w:val="both"/>
        <w:rPr>
          <w:sz w:val="24"/>
          <w:szCs w:val="24"/>
        </w:rPr>
      </w:pPr>
      <w:r w:rsidRPr="00FC3E4D">
        <w:rPr>
          <w:sz w:val="24"/>
          <w:szCs w:val="24"/>
        </w:rPr>
        <w:t>TDD based scheduling restriction because UE cannot do UL transmission when UE is operation on DL for neighbor cell measurement.</w:t>
      </w:r>
    </w:p>
    <w:p w14:paraId="7F6A365D" w14:textId="2B4345AF" w:rsidR="00FC3E4D" w:rsidRPr="00FC3E4D" w:rsidRDefault="00FC3E4D" w:rsidP="00FC3E4D">
      <w:pPr>
        <w:pStyle w:val="ListParagraph"/>
        <w:numPr>
          <w:ilvl w:val="0"/>
          <w:numId w:val="97"/>
        </w:numPr>
        <w:spacing w:before="0" w:beforeAutospacing="0" w:line="240" w:lineRule="auto"/>
        <w:ind w:firstLineChars="0"/>
        <w:jc w:val="both"/>
        <w:rPr>
          <w:sz w:val="24"/>
          <w:szCs w:val="24"/>
          <w:lang w:val="en-GB"/>
        </w:rPr>
      </w:pPr>
      <w:r w:rsidRPr="00FC3E4D">
        <w:rPr>
          <w:sz w:val="24"/>
          <w:szCs w:val="24"/>
        </w:rPr>
        <w:t>Other scheduling restriction applies because UE cannot do e.g., mixed numerology Rx or Tx when UE is performing SSB or CSI-RS measurement.</w:t>
      </w:r>
    </w:p>
    <w:p w14:paraId="7C56AE2D" w14:textId="0A22D099" w:rsidR="00FC3E4D" w:rsidRDefault="00FC3E4D" w:rsidP="00FC3E4D">
      <w:pPr>
        <w:spacing w:before="0" w:beforeAutospacing="0"/>
        <w:jc w:val="both"/>
      </w:pPr>
      <w:r>
        <w:rPr>
          <w:lang w:val="en-GB"/>
        </w:rPr>
        <w:t xml:space="preserve">R17 NTN has new scheduling restriction if UE </w:t>
      </w:r>
      <w:proofErr w:type="spellStart"/>
      <w:r>
        <w:rPr>
          <w:lang w:val="en-GB"/>
        </w:rPr>
        <w:t>does’t</w:t>
      </w:r>
      <w:proofErr w:type="spellEnd"/>
      <w:r>
        <w:rPr>
          <w:lang w:val="en-GB"/>
        </w:rPr>
        <w:t xml:space="preserve"> support </w:t>
      </w:r>
      <w:proofErr w:type="spellStart"/>
      <w:r w:rsidRPr="00FC3E4D">
        <w:rPr>
          <w:i/>
        </w:rPr>
        <w:t>parallelMeasurementWithoutRestriction</w:t>
      </w:r>
      <w:proofErr w:type="spellEnd"/>
      <w:r>
        <w:rPr>
          <w:i/>
        </w:rPr>
        <w:t>,</w:t>
      </w:r>
      <w:r w:rsidRPr="00FC3E4D">
        <w:t xml:space="preserve"> </w:t>
      </w:r>
      <w:r>
        <w:t xml:space="preserve">when UE is performing </w:t>
      </w:r>
      <w:r w:rsidRPr="00FC3E4D">
        <w:t>SS-RSRP/RSRQ/SINR measurement on a neighbor cell served by a different satellite in LEO</w:t>
      </w:r>
      <w:r>
        <w:t>.</w:t>
      </w:r>
    </w:p>
    <w:p w14:paraId="234AA4D4" w14:textId="77777777" w:rsidR="00A1238B" w:rsidRDefault="00FC3E4D" w:rsidP="00A1238B">
      <w:pPr>
        <w:spacing w:before="0" w:beforeAutospacing="0"/>
        <w:jc w:val="both"/>
        <w:rPr>
          <w:lang w:val="en-GB"/>
        </w:rPr>
      </w:pPr>
      <w:r>
        <w:t xml:space="preserve">The above scheduling restriction happens during the SSB measurement occasions of the target cells, e.g., UE is doing SSB measurement but cannot receive the data/control or transmit data/control/RACH to the serving satellite. However, in this special case for DL coverage enhancement with Tx beam hopping, even on other </w:t>
      </w:r>
      <w:proofErr w:type="gramStart"/>
      <w:r>
        <w:t>time period</w:t>
      </w:r>
      <w:proofErr w:type="gramEnd"/>
      <w:r>
        <w:t xml:space="preserve"> outside the configured SSB occasions, NW may be still not possible to schedule or receive any channel/signal to or from UE, as shown in following figure 1.</w:t>
      </w:r>
      <w:r w:rsidR="00A1238B">
        <w:t xml:space="preserve"> T</w:t>
      </w:r>
      <w:r>
        <w:t>o the example UE</w:t>
      </w:r>
      <w:r w:rsidR="00A1238B">
        <w:t xml:space="preserve"> in cell 2</w:t>
      </w:r>
      <w:r>
        <w:t>, outside the cell 2 SSB occasions, before T2 and after T2+40ms, NW hopped Tx beams to other cells (cell 1/3/4), and therefore serving satellite cannot transmit/receive anything to or from UE in cell 2.</w:t>
      </w:r>
      <w:r w:rsidR="00A1238B">
        <w:t xml:space="preserve"> Therefore, w</w:t>
      </w:r>
      <w:r>
        <w:t>e need to reconsider the scheduling restriction applicability in this scenario of DL coverage enhancement.</w:t>
      </w:r>
      <w:r>
        <w:rPr>
          <w:lang w:val="en-GB"/>
        </w:rPr>
        <w:t xml:space="preserve"> </w:t>
      </w:r>
    </w:p>
    <w:p w14:paraId="17ED0A39" w14:textId="445245C0" w:rsidR="00FC3E4D" w:rsidRDefault="00FC3E4D" w:rsidP="00C12CB6">
      <w:pPr>
        <w:spacing w:before="0" w:beforeAutospacing="0"/>
        <w:jc w:val="center"/>
      </w:pPr>
      <w:r w:rsidRPr="00FC3E4D">
        <w:rPr>
          <w:noProof/>
          <w:lang w:val="en-GB"/>
        </w:rPr>
        <w:drawing>
          <wp:inline distT="0" distB="0" distL="0" distR="0" wp14:anchorId="0D28AE72" wp14:editId="1EF76EC3">
            <wp:extent cx="4945711" cy="2336467"/>
            <wp:effectExtent l="0" t="0" r="0" b="635"/>
            <wp:docPr id="1536836585" name="Picture 1" descr="A black background with arrows and arrows pointing to a light blue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36585" name="Picture 1" descr="A black background with arrows and arrows pointing to a light blue object&#10;&#10;Description automatically generated with medium confidence"/>
                    <pic:cNvPicPr/>
                  </pic:nvPicPr>
                  <pic:blipFill>
                    <a:blip r:embed="rId10"/>
                    <a:stretch>
                      <a:fillRect/>
                    </a:stretch>
                  </pic:blipFill>
                  <pic:spPr>
                    <a:xfrm>
                      <a:off x="0" y="0"/>
                      <a:ext cx="4965111" cy="2345632"/>
                    </a:xfrm>
                    <a:prstGeom prst="rect">
                      <a:avLst/>
                    </a:prstGeom>
                  </pic:spPr>
                </pic:pic>
              </a:graphicData>
            </a:graphic>
          </wp:inline>
        </w:drawing>
      </w:r>
    </w:p>
    <w:p w14:paraId="6D35D0C4" w14:textId="70C05ABF" w:rsidR="00FC3E4D" w:rsidRDefault="00FC3E4D" w:rsidP="00FC3E4D">
      <w:pPr>
        <w:pStyle w:val="Caption"/>
        <w:jc w:val="both"/>
      </w:pPr>
      <w:r>
        <w:t xml:space="preserve">Figure </w:t>
      </w:r>
      <w:r w:rsidR="00BE3E58">
        <w:t>1</w:t>
      </w:r>
      <w:r>
        <w:t>. cell 2 UE</w:t>
      </w:r>
      <w:r w:rsidR="00A1238B">
        <w:t>(s)</w:t>
      </w:r>
      <w:r>
        <w:t xml:space="preserve"> may not transmit or receive signaling from satellite when beam hopped away</w:t>
      </w:r>
    </w:p>
    <w:p w14:paraId="40A537C6" w14:textId="6A64BA9A" w:rsidR="00A1238B" w:rsidRDefault="00A1238B" w:rsidP="00A1238B">
      <w:pPr>
        <w:jc w:val="both"/>
        <w:rPr>
          <w:lang w:val="en-GB" w:eastAsia="x-none"/>
        </w:rPr>
      </w:pPr>
      <w:r>
        <w:rPr>
          <w:lang w:val="en-GB" w:eastAsia="x-none"/>
        </w:rPr>
        <w:lastRenderedPageBreak/>
        <w:t>I</w:t>
      </w:r>
      <w:r w:rsidRPr="00A1238B">
        <w:rPr>
          <w:lang w:val="en-GB" w:eastAsia="x-none"/>
        </w:rPr>
        <w:t>f the RO periodicity configuration from serving cell is not greater than the SSB periodicity</w:t>
      </w:r>
      <w:r>
        <w:rPr>
          <w:lang w:val="en-GB" w:eastAsia="x-none"/>
        </w:rPr>
        <w:t xml:space="preserve"> (less than 160ms in the example figure </w:t>
      </w:r>
      <w:r w:rsidR="00BB6158">
        <w:rPr>
          <w:lang w:val="en-GB" w:eastAsia="x-none"/>
        </w:rPr>
        <w:t>2</w:t>
      </w:r>
      <w:r>
        <w:rPr>
          <w:lang w:val="en-GB" w:eastAsia="x-none"/>
        </w:rPr>
        <w:t>)</w:t>
      </w:r>
      <w:r w:rsidRPr="00A1238B">
        <w:rPr>
          <w:lang w:val="en-GB" w:eastAsia="x-none"/>
        </w:rPr>
        <w:t>, the scheduling restriction applies to UE RACH and RACH related channels transmission outside the time period of serving Tx beam availability</w:t>
      </w:r>
      <w:r>
        <w:rPr>
          <w:lang w:val="en-GB" w:eastAsia="x-none"/>
        </w:rPr>
        <w:t xml:space="preserve">, </w:t>
      </w:r>
      <w:r w:rsidRPr="00A1238B">
        <w:rPr>
          <w:lang w:val="en-GB" w:eastAsia="x-none"/>
        </w:rPr>
        <w:t>time period of serving Tx beam availability means</w:t>
      </w:r>
      <w:r>
        <w:rPr>
          <w:lang w:val="en-GB" w:eastAsia="x-none"/>
        </w:rPr>
        <w:t xml:space="preserve">, e.g., </w:t>
      </w:r>
      <w:r w:rsidRPr="00A1238B">
        <w:rPr>
          <w:lang w:val="en-GB" w:eastAsia="x-none"/>
        </w:rPr>
        <w:t>the time period between the beginning of slot containing available SSB (i.e., T2</w:t>
      </w:r>
      <w:r>
        <w:rPr>
          <w:lang w:val="en-GB" w:eastAsia="x-none"/>
        </w:rPr>
        <w:t xml:space="preserve"> in example figure </w:t>
      </w:r>
      <w:r w:rsidR="00BB6158">
        <w:rPr>
          <w:lang w:val="en-GB" w:eastAsia="x-none"/>
        </w:rPr>
        <w:t>2</w:t>
      </w:r>
      <w:r w:rsidRPr="00A1238B">
        <w:rPr>
          <w:lang w:val="en-GB" w:eastAsia="x-none"/>
        </w:rPr>
        <w:t>) and (original SSB periodicity + T2).</w:t>
      </w:r>
      <w:r>
        <w:rPr>
          <w:lang w:val="en-GB" w:eastAsia="x-none"/>
        </w:rPr>
        <w:t xml:space="preserve"> Thus, the scheduling restriction for RACH could be: </w:t>
      </w:r>
      <w:r w:rsidRPr="00A1238B">
        <w:rPr>
          <w:lang w:val="en-GB" w:eastAsia="x-none"/>
        </w:rPr>
        <w:t xml:space="preserve">If DL coverage enhancement or satellite beam hopping is enabled, the UE is not expected to transmit PRACH on symbols outside the serving satellite Tx/Rx beam </w:t>
      </w:r>
      <w:r>
        <w:rPr>
          <w:lang w:val="en-GB" w:eastAsia="x-none"/>
        </w:rPr>
        <w:t xml:space="preserve">availability </w:t>
      </w:r>
      <w:r w:rsidRPr="00A1238B">
        <w:rPr>
          <w:lang w:val="en-GB" w:eastAsia="x-none"/>
        </w:rPr>
        <w:t>durations.</w:t>
      </w:r>
    </w:p>
    <w:p w14:paraId="2B6C27FD" w14:textId="77777777" w:rsidR="00A1238B" w:rsidRDefault="00A1238B" w:rsidP="00A1238B">
      <w:pPr>
        <w:keepNext/>
        <w:jc w:val="center"/>
      </w:pPr>
      <w:r w:rsidRPr="00A1238B">
        <w:rPr>
          <w:noProof/>
          <w:lang w:val="en-GB" w:eastAsia="x-none"/>
        </w:rPr>
        <w:drawing>
          <wp:inline distT="0" distB="0" distL="0" distR="0" wp14:anchorId="004B01E1" wp14:editId="037DBD2D">
            <wp:extent cx="2395437" cy="2608028"/>
            <wp:effectExtent l="0" t="0" r="5080" b="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pic:nvPicPr>
                  <pic:blipFill>
                    <a:blip r:embed="rId11"/>
                    <a:stretch>
                      <a:fillRect/>
                    </a:stretch>
                  </pic:blipFill>
                  <pic:spPr>
                    <a:xfrm>
                      <a:off x="0" y="0"/>
                      <a:ext cx="2415470" cy="2629839"/>
                    </a:xfrm>
                    <a:prstGeom prst="rect">
                      <a:avLst/>
                    </a:prstGeom>
                  </pic:spPr>
                </pic:pic>
              </a:graphicData>
            </a:graphic>
          </wp:inline>
        </w:drawing>
      </w:r>
    </w:p>
    <w:p w14:paraId="0C7A4514" w14:textId="3E9741FE" w:rsidR="00A1238B" w:rsidRDefault="00A1238B" w:rsidP="00A1238B">
      <w:pPr>
        <w:pStyle w:val="Caption"/>
        <w:jc w:val="center"/>
      </w:pPr>
      <w:r>
        <w:t xml:space="preserve">Figure </w:t>
      </w:r>
      <w:r w:rsidR="00BE3E58">
        <w:t>2</w:t>
      </w:r>
      <w:r>
        <w:t>. example for RO in SSB periodicity</w:t>
      </w:r>
    </w:p>
    <w:p w14:paraId="7AAB3067" w14:textId="5B8E342C" w:rsidR="006641D2" w:rsidRPr="006641D2" w:rsidRDefault="006641D2" w:rsidP="00A1238B">
      <w:pPr>
        <w:jc w:val="both"/>
        <w:rPr>
          <w:lang w:val="en-GB"/>
        </w:rPr>
      </w:pPr>
      <w:r w:rsidRPr="006641D2">
        <w:rPr>
          <w:lang w:val="en-GB"/>
        </w:rPr>
        <w:t xml:space="preserve">We are also supportive to send LS to Ran1 for clarification if RAN4 cannot make such decision internally. </w:t>
      </w:r>
    </w:p>
    <w:p w14:paraId="38843E2E" w14:textId="010A1A70" w:rsidR="00A1238B" w:rsidRPr="00A1238B" w:rsidRDefault="00A1238B" w:rsidP="00A1238B">
      <w:pPr>
        <w:jc w:val="both"/>
        <w:rPr>
          <w:lang w:val="en-GB" w:eastAsia="x-none"/>
        </w:rPr>
      </w:pPr>
      <w:r>
        <w:rPr>
          <w:b/>
          <w:bCs/>
          <w:i/>
          <w:iCs/>
          <w:lang w:val="en-GB"/>
        </w:rPr>
        <w:t xml:space="preserve">Proposal </w:t>
      </w:r>
      <w:r w:rsidR="006641D2">
        <w:rPr>
          <w:b/>
          <w:bCs/>
          <w:i/>
          <w:iCs/>
          <w:lang w:val="en-GB"/>
        </w:rPr>
        <w:t>1</w:t>
      </w:r>
      <w:r>
        <w:rPr>
          <w:b/>
          <w:bCs/>
          <w:i/>
          <w:iCs/>
          <w:lang w:val="en-GB"/>
        </w:rPr>
        <w:t xml:space="preserve">: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308CF248" w:rsidR="000A52A0" w:rsidRDefault="000A52A0" w:rsidP="000A52A0">
      <w:pPr>
        <w:spacing w:after="120"/>
        <w:jc w:val="both"/>
      </w:pPr>
      <w:r>
        <w:t xml:space="preserve">In this contribution, we discuss the RRM requirement for </w:t>
      </w:r>
      <w:r w:rsidRPr="00E01145">
        <w:t>Non-Terrestrial Networks (NTN) NR Phase 3</w:t>
      </w:r>
      <w:r>
        <w:t>.</w:t>
      </w:r>
    </w:p>
    <w:p w14:paraId="012F147D" w14:textId="77777777" w:rsidR="006641D2" w:rsidRPr="00A1238B" w:rsidRDefault="006641D2" w:rsidP="006641D2">
      <w:pPr>
        <w:jc w:val="both"/>
        <w:rPr>
          <w:lang w:val="en-GB" w:eastAsia="x-none"/>
        </w:rPr>
      </w:pPr>
      <w:r>
        <w:rPr>
          <w:b/>
          <w:bCs/>
          <w:i/>
          <w:iCs/>
          <w:lang w:val="en-GB"/>
        </w:rPr>
        <w:t xml:space="preserve">Proposal 1: </w:t>
      </w:r>
      <w:r w:rsidRPr="00A1238B">
        <w:rPr>
          <w:b/>
          <w:bCs/>
          <w:i/>
          <w:iCs/>
        </w:rPr>
        <w:t xml:space="preserve">RAN4 to reconsider the scheduling restriction applicability </w:t>
      </w:r>
      <w:r>
        <w:rPr>
          <w:b/>
          <w:bCs/>
          <w:i/>
          <w:iCs/>
        </w:rPr>
        <w:t>for</w:t>
      </w:r>
      <w:r w:rsidRPr="00A1238B">
        <w:rPr>
          <w:b/>
          <w:bCs/>
          <w:i/>
          <w:iCs/>
        </w:rPr>
        <w:t xml:space="preserve"> DL coverage enhancement, e.g., scheduling restriction for RACH transmission </w:t>
      </w:r>
      <w:r>
        <w:rPr>
          <w:b/>
          <w:bCs/>
          <w:i/>
          <w:iCs/>
        </w:rPr>
        <w:t>if serving satellite hopped away the beam to not cover the footprint of target UE</w:t>
      </w:r>
      <w:r w:rsidRPr="00A1238B">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FB52902" w14:textId="123DEFE1" w:rsidR="00C12CB6" w:rsidRPr="00C12CB6" w:rsidRDefault="00CD3CF7" w:rsidP="00C12CB6">
      <w:r w:rsidRPr="00166286">
        <w:t>[</w:t>
      </w:r>
      <w:r w:rsidR="000F13B6" w:rsidRPr="00166286">
        <w:t>1</w:t>
      </w:r>
      <w:r w:rsidRPr="00166286">
        <w:t xml:space="preserve">] </w:t>
      </w:r>
      <w:r w:rsidR="006641D2" w:rsidRPr="006641D2">
        <w:rPr>
          <w:rFonts w:eastAsia="DengXian"/>
        </w:rPr>
        <w:t>R4-2522209</w:t>
      </w:r>
      <w:r w:rsidR="00B31F0A">
        <w:rPr>
          <w:rFonts w:eastAsia="DengXian"/>
        </w:rPr>
        <w:t xml:space="preserve">, </w:t>
      </w:r>
      <w:r w:rsidR="006641D2" w:rsidRPr="006641D2">
        <w:rPr>
          <w:rFonts w:eastAsia="DengXian"/>
        </w:rPr>
        <w:t xml:space="preserve">Topic summary for [117][325] </w:t>
      </w:r>
      <w:proofErr w:type="spellStart"/>
      <w:r w:rsidR="006641D2" w:rsidRPr="006641D2">
        <w:rPr>
          <w:rFonts w:eastAsia="DengXian"/>
        </w:rPr>
        <w:t>NR_IoT_NTN_Maintenance_RRM</w:t>
      </w:r>
      <w:proofErr w:type="spellEnd"/>
      <w:r w:rsidRPr="00166286">
        <w:t xml:space="preserve">, </w:t>
      </w:r>
      <w:r w:rsidR="00B31F0A" w:rsidRPr="00B31F0A">
        <w:t>Moderator (Iridium)</w:t>
      </w:r>
      <w:r w:rsidRPr="00166286">
        <w:t>, RAN4#11</w:t>
      </w:r>
      <w:r w:rsidR="006641D2">
        <w:t>7</w:t>
      </w:r>
    </w:p>
    <w:sectPr w:rsidR="00C12CB6" w:rsidRPr="00C12CB6" w:rsidSect="00F209DF">
      <w:headerReference w:type="even" r:id="rId12"/>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7598C" w14:textId="77777777" w:rsidR="00CF125C" w:rsidRDefault="00CF125C">
      <w:r>
        <w:separator/>
      </w:r>
    </w:p>
  </w:endnote>
  <w:endnote w:type="continuationSeparator" w:id="0">
    <w:p w14:paraId="7307E92E" w14:textId="77777777" w:rsidR="00CF125C" w:rsidRDefault="00CF125C">
      <w:r>
        <w:continuationSeparator/>
      </w:r>
    </w:p>
  </w:endnote>
  <w:endnote w:type="continuationNotice" w:id="1">
    <w:p w14:paraId="65122107" w14:textId="77777777" w:rsidR="00CF125C" w:rsidRDefault="00CF1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95D7B" w14:textId="77777777" w:rsidR="00CF125C" w:rsidRDefault="00CF125C">
      <w:r>
        <w:separator/>
      </w:r>
    </w:p>
  </w:footnote>
  <w:footnote w:type="continuationSeparator" w:id="0">
    <w:p w14:paraId="476B8FAC" w14:textId="77777777" w:rsidR="00CF125C" w:rsidRDefault="00CF125C">
      <w:r>
        <w:continuationSeparator/>
      </w:r>
    </w:p>
  </w:footnote>
  <w:footnote w:type="continuationNotice" w:id="1">
    <w:p w14:paraId="63DBA6CF" w14:textId="77777777" w:rsidR="00CF125C" w:rsidRDefault="00CF12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0D1C"/>
    <w:multiLevelType w:val="hybridMultilevel"/>
    <w:tmpl w:val="D1C27A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2A5A1C"/>
    <w:multiLevelType w:val="hybridMultilevel"/>
    <w:tmpl w:val="42C2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6A13D2"/>
    <w:multiLevelType w:val="hybridMultilevel"/>
    <w:tmpl w:val="0CEAE72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C733F0"/>
    <w:multiLevelType w:val="multilevel"/>
    <w:tmpl w:val="7278C8AE"/>
    <w:lvl w:ilvl="0">
      <w:start w:val="1"/>
      <w:numFmt w:val="decimal"/>
      <w:lvlText w:val="%1."/>
      <w:lvlJc w:val="left"/>
      <w:pPr>
        <w:tabs>
          <w:tab w:val="num" w:pos="720"/>
        </w:tabs>
        <w:ind w:left="720" w:hanging="720"/>
      </w:pPr>
      <w:rPr>
        <w:sz w:val="2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9A4FEB"/>
    <w:multiLevelType w:val="multilevel"/>
    <w:tmpl w:val="5DFC13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952CF"/>
    <w:multiLevelType w:val="hybridMultilevel"/>
    <w:tmpl w:val="81BC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69900874"/>
    <w:multiLevelType w:val="hybridMultilevel"/>
    <w:tmpl w:val="D1C27A1A"/>
    <w:lvl w:ilvl="0" w:tplc="9CB66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4"/>
  </w:num>
  <w:num w:numId="5" w16cid:durableId="19949176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4"/>
  </w:num>
  <w:num w:numId="12" w16cid:durableId="1683971953">
    <w:abstractNumId w:val="60"/>
  </w:num>
  <w:num w:numId="13" w16cid:durableId="1802336773">
    <w:abstractNumId w:val="85"/>
  </w:num>
  <w:num w:numId="14" w16cid:durableId="183179212">
    <w:abstractNumId w:val="15"/>
  </w:num>
  <w:num w:numId="15" w16cid:durableId="101072845">
    <w:abstractNumId w:val="4"/>
  </w:num>
  <w:num w:numId="16" w16cid:durableId="1671985423">
    <w:abstractNumId w:val="95"/>
  </w:num>
  <w:num w:numId="17" w16cid:durableId="527718403">
    <w:abstractNumId w:val="14"/>
  </w:num>
  <w:num w:numId="18" w16cid:durableId="336426665">
    <w:abstractNumId w:val="73"/>
  </w:num>
  <w:num w:numId="19" w16cid:durableId="314071016">
    <w:abstractNumId w:val="9"/>
  </w:num>
  <w:num w:numId="20" w16cid:durableId="254241833">
    <w:abstractNumId w:val="22"/>
  </w:num>
  <w:num w:numId="21" w16cid:durableId="2056931042">
    <w:abstractNumId w:val="59"/>
  </w:num>
  <w:num w:numId="22" w16cid:durableId="277881800">
    <w:abstractNumId w:val="65"/>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6"/>
  </w:num>
  <w:num w:numId="30" w16cid:durableId="195780968">
    <w:abstractNumId w:val="74"/>
  </w:num>
  <w:num w:numId="31" w16cid:durableId="43145658">
    <w:abstractNumId w:val="62"/>
  </w:num>
  <w:num w:numId="32" w16cid:durableId="840119956">
    <w:abstractNumId w:val="92"/>
  </w:num>
  <w:num w:numId="33" w16cid:durableId="788086887">
    <w:abstractNumId w:val="82"/>
  </w:num>
  <w:num w:numId="34" w16cid:durableId="1075589885">
    <w:abstractNumId w:val="38"/>
  </w:num>
  <w:num w:numId="35" w16cid:durableId="1071587299">
    <w:abstractNumId w:val="86"/>
  </w:num>
  <w:num w:numId="36" w16cid:durableId="1091851232">
    <w:abstractNumId w:val="77"/>
  </w:num>
  <w:num w:numId="37" w16cid:durableId="973365770">
    <w:abstractNumId w:val="71"/>
  </w:num>
  <w:num w:numId="38" w16cid:durableId="1834683719">
    <w:abstractNumId w:val="8"/>
  </w:num>
  <w:num w:numId="39" w16cid:durableId="1536116022">
    <w:abstractNumId w:val="80"/>
  </w:num>
  <w:num w:numId="40" w16cid:durableId="1520314102">
    <w:abstractNumId w:val="83"/>
  </w:num>
  <w:num w:numId="41" w16cid:durableId="247882645">
    <w:abstractNumId w:val="5"/>
  </w:num>
  <w:num w:numId="42" w16cid:durableId="1465733113">
    <w:abstractNumId w:val="37"/>
  </w:num>
  <w:num w:numId="43" w16cid:durableId="1899396757">
    <w:abstractNumId w:val="6"/>
  </w:num>
  <w:num w:numId="44" w16cid:durableId="1532566973">
    <w:abstractNumId w:val="1"/>
  </w:num>
  <w:num w:numId="45" w16cid:durableId="1368028164">
    <w:abstractNumId w:val="17"/>
  </w:num>
  <w:num w:numId="46" w16cid:durableId="1589078694">
    <w:abstractNumId w:val="33"/>
  </w:num>
  <w:num w:numId="47" w16cid:durableId="925915457">
    <w:abstractNumId w:val="11"/>
  </w:num>
  <w:num w:numId="48" w16cid:durableId="12804858">
    <w:abstractNumId w:val="26"/>
  </w:num>
  <w:num w:numId="49" w16cid:durableId="1651904155">
    <w:abstractNumId w:val="69"/>
  </w:num>
  <w:num w:numId="50" w16cid:durableId="1799837277">
    <w:abstractNumId w:val="76"/>
  </w:num>
  <w:num w:numId="51" w16cid:durableId="1335303262">
    <w:abstractNumId w:val="54"/>
  </w:num>
  <w:num w:numId="52" w16cid:durableId="2017027243">
    <w:abstractNumId w:val="32"/>
  </w:num>
  <w:num w:numId="53" w16cid:durableId="972100627">
    <w:abstractNumId w:val="56"/>
  </w:num>
  <w:num w:numId="54" w16cid:durableId="581522437">
    <w:abstractNumId w:val="93"/>
  </w:num>
  <w:num w:numId="55" w16cid:durableId="561520335">
    <w:abstractNumId w:val="67"/>
  </w:num>
  <w:num w:numId="56" w16cid:durableId="252054725">
    <w:abstractNumId w:val="40"/>
  </w:num>
  <w:num w:numId="57" w16cid:durableId="1293051579">
    <w:abstractNumId w:val="75"/>
  </w:num>
  <w:num w:numId="58" w16cid:durableId="1169441097">
    <w:abstractNumId w:val="70"/>
  </w:num>
  <w:num w:numId="59" w16cid:durableId="313799950">
    <w:abstractNumId w:val="19"/>
  </w:num>
  <w:num w:numId="60" w16cid:durableId="1577743831">
    <w:abstractNumId w:val="23"/>
  </w:num>
  <w:num w:numId="61" w16cid:durableId="809325268">
    <w:abstractNumId w:val="57"/>
  </w:num>
  <w:num w:numId="62" w16cid:durableId="1225213486">
    <w:abstractNumId w:val="20"/>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90"/>
  </w:num>
  <w:num w:numId="68" w16cid:durableId="638533785">
    <w:abstractNumId w:val="35"/>
  </w:num>
  <w:num w:numId="69" w16cid:durableId="1886863922">
    <w:abstractNumId w:val="47"/>
  </w:num>
  <w:num w:numId="70" w16cid:durableId="1612977760">
    <w:abstractNumId w:val="41"/>
  </w:num>
  <w:num w:numId="71" w16cid:durableId="1456874366">
    <w:abstractNumId w:val="36"/>
  </w:num>
  <w:num w:numId="72" w16cid:durableId="1577082966">
    <w:abstractNumId w:val="18"/>
  </w:num>
  <w:num w:numId="73" w16cid:durableId="873807557">
    <w:abstractNumId w:val="50"/>
  </w:num>
  <w:num w:numId="74" w16cid:durableId="118957055">
    <w:abstractNumId w:val="79"/>
  </w:num>
  <w:num w:numId="75" w16cid:durableId="2008944983">
    <w:abstractNumId w:val="64"/>
  </w:num>
  <w:num w:numId="76" w16cid:durableId="559049746">
    <w:abstractNumId w:val="63"/>
  </w:num>
  <w:num w:numId="77" w16cid:durableId="1511330375">
    <w:abstractNumId w:val="42"/>
  </w:num>
  <w:num w:numId="78" w16cid:durableId="1610773526">
    <w:abstractNumId w:val="51"/>
  </w:num>
  <w:num w:numId="79" w16cid:durableId="228275363">
    <w:abstractNumId w:val="68"/>
  </w:num>
  <w:num w:numId="80" w16cid:durableId="1257902246">
    <w:abstractNumId w:val="16"/>
  </w:num>
  <w:num w:numId="81" w16cid:durableId="341979843">
    <w:abstractNumId w:val="48"/>
  </w:num>
  <w:num w:numId="82" w16cid:durableId="1714499501">
    <w:abstractNumId w:val="24"/>
  </w:num>
  <w:num w:numId="83" w16cid:durableId="1959069378">
    <w:abstractNumId w:val="49"/>
  </w:num>
  <w:num w:numId="84" w16cid:durableId="1094979134">
    <w:abstractNumId w:val="91"/>
  </w:num>
  <w:num w:numId="85" w16cid:durableId="1395541">
    <w:abstractNumId w:val="30"/>
  </w:num>
  <w:num w:numId="86" w16cid:durableId="340860459">
    <w:abstractNumId w:val="96"/>
  </w:num>
  <w:num w:numId="87" w16cid:durableId="187839416">
    <w:abstractNumId w:val="13"/>
  </w:num>
  <w:num w:numId="88" w16cid:durableId="2068455209">
    <w:abstractNumId w:val="87"/>
  </w:num>
  <w:num w:numId="89" w16cid:durableId="711808226">
    <w:abstractNumId w:val="53"/>
  </w:num>
  <w:num w:numId="90" w16cid:durableId="183598065">
    <w:abstractNumId w:val="28"/>
  </w:num>
  <w:num w:numId="91" w16cid:durableId="19667098">
    <w:abstractNumId w:val="66"/>
  </w:num>
  <w:num w:numId="92" w16cid:durableId="57824824">
    <w:abstractNumId w:val="89"/>
  </w:num>
  <w:num w:numId="93" w16cid:durableId="12005858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6943620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0577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24500533">
    <w:abstractNumId w:val="61"/>
  </w:num>
  <w:num w:numId="97" w16cid:durableId="410082431">
    <w:abstractNumId w:val="52"/>
  </w:num>
  <w:num w:numId="98" w16cid:durableId="1381981898">
    <w:abstractNumId w:val="88"/>
  </w:num>
  <w:num w:numId="99" w16cid:durableId="1478720886">
    <w:abstractNumId w:val="72"/>
  </w:num>
  <w:num w:numId="100" w16cid:durableId="956177251">
    <w:abstractNumId w:val="45"/>
  </w:num>
  <w:num w:numId="101" w16cid:durableId="1272592582">
    <w:abstractNumId w:val="78"/>
  </w:num>
  <w:num w:numId="102" w16cid:durableId="632173490">
    <w:abstractNumId w:val="7"/>
  </w:num>
  <w:num w:numId="103" w16cid:durableId="134382322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2E08"/>
    <w:rsid w:val="000133FC"/>
    <w:rsid w:val="00013A17"/>
    <w:rsid w:val="0001511B"/>
    <w:rsid w:val="00016123"/>
    <w:rsid w:val="000172F0"/>
    <w:rsid w:val="000176F5"/>
    <w:rsid w:val="00017FA0"/>
    <w:rsid w:val="0002052C"/>
    <w:rsid w:val="0002173E"/>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966"/>
    <w:rsid w:val="00041B0F"/>
    <w:rsid w:val="00042374"/>
    <w:rsid w:val="0004301E"/>
    <w:rsid w:val="00043024"/>
    <w:rsid w:val="00044A05"/>
    <w:rsid w:val="00044B4C"/>
    <w:rsid w:val="000459BE"/>
    <w:rsid w:val="00045E08"/>
    <w:rsid w:val="00046A6E"/>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5FFF"/>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6B47"/>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3B6"/>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8A1"/>
    <w:rsid w:val="0011706C"/>
    <w:rsid w:val="00117AAE"/>
    <w:rsid w:val="00120D42"/>
    <w:rsid w:val="00120DB2"/>
    <w:rsid w:val="00120F27"/>
    <w:rsid w:val="00121744"/>
    <w:rsid w:val="001218ED"/>
    <w:rsid w:val="001222C1"/>
    <w:rsid w:val="00122A8D"/>
    <w:rsid w:val="00125407"/>
    <w:rsid w:val="00125567"/>
    <w:rsid w:val="00125A88"/>
    <w:rsid w:val="00125B9F"/>
    <w:rsid w:val="00125D39"/>
    <w:rsid w:val="00125E91"/>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3C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4D9F"/>
    <w:rsid w:val="00155751"/>
    <w:rsid w:val="00157445"/>
    <w:rsid w:val="0015749B"/>
    <w:rsid w:val="0016034B"/>
    <w:rsid w:val="00161C57"/>
    <w:rsid w:val="001623E4"/>
    <w:rsid w:val="001629DA"/>
    <w:rsid w:val="00162B0D"/>
    <w:rsid w:val="00163FF3"/>
    <w:rsid w:val="001643D5"/>
    <w:rsid w:val="00164C45"/>
    <w:rsid w:val="001650A1"/>
    <w:rsid w:val="001660E0"/>
    <w:rsid w:val="00166286"/>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6CAA"/>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FE3"/>
    <w:rsid w:val="0019535E"/>
    <w:rsid w:val="0019552E"/>
    <w:rsid w:val="001966FA"/>
    <w:rsid w:val="0019671F"/>
    <w:rsid w:val="001968C8"/>
    <w:rsid w:val="00196A7C"/>
    <w:rsid w:val="0019739A"/>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A6EDE"/>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BA"/>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251"/>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A0D"/>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B3B"/>
    <w:rsid w:val="00241281"/>
    <w:rsid w:val="00241668"/>
    <w:rsid w:val="00242B77"/>
    <w:rsid w:val="0024363C"/>
    <w:rsid w:val="00245B24"/>
    <w:rsid w:val="00246B61"/>
    <w:rsid w:val="00247AF0"/>
    <w:rsid w:val="00247BBF"/>
    <w:rsid w:val="00247D94"/>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0AF"/>
    <w:rsid w:val="00280E39"/>
    <w:rsid w:val="00280F22"/>
    <w:rsid w:val="00281046"/>
    <w:rsid w:val="00281795"/>
    <w:rsid w:val="002819FF"/>
    <w:rsid w:val="00282398"/>
    <w:rsid w:val="002825A1"/>
    <w:rsid w:val="0028322C"/>
    <w:rsid w:val="002835C8"/>
    <w:rsid w:val="00283B69"/>
    <w:rsid w:val="00283CE0"/>
    <w:rsid w:val="00284D9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C4F"/>
    <w:rsid w:val="002A6F31"/>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0BB7"/>
    <w:rsid w:val="002D16B0"/>
    <w:rsid w:val="002D1B35"/>
    <w:rsid w:val="002D1B4F"/>
    <w:rsid w:val="002D3A6D"/>
    <w:rsid w:val="002D3DB0"/>
    <w:rsid w:val="002D3EAD"/>
    <w:rsid w:val="002D3F24"/>
    <w:rsid w:val="002D4269"/>
    <w:rsid w:val="002D435E"/>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3B6E"/>
    <w:rsid w:val="003440A3"/>
    <w:rsid w:val="00344667"/>
    <w:rsid w:val="00344725"/>
    <w:rsid w:val="00345588"/>
    <w:rsid w:val="003458D0"/>
    <w:rsid w:val="0035099A"/>
    <w:rsid w:val="00351537"/>
    <w:rsid w:val="003519AF"/>
    <w:rsid w:val="003527DD"/>
    <w:rsid w:val="00352C9D"/>
    <w:rsid w:val="003542FC"/>
    <w:rsid w:val="00354AC7"/>
    <w:rsid w:val="003552E0"/>
    <w:rsid w:val="003555DE"/>
    <w:rsid w:val="00356722"/>
    <w:rsid w:val="003567BE"/>
    <w:rsid w:val="00356DED"/>
    <w:rsid w:val="00356E88"/>
    <w:rsid w:val="00356FD9"/>
    <w:rsid w:val="00360017"/>
    <w:rsid w:val="00360436"/>
    <w:rsid w:val="00360F8E"/>
    <w:rsid w:val="00361280"/>
    <w:rsid w:val="00362BA6"/>
    <w:rsid w:val="00362E22"/>
    <w:rsid w:val="00362F54"/>
    <w:rsid w:val="00363F46"/>
    <w:rsid w:val="003640D5"/>
    <w:rsid w:val="00364101"/>
    <w:rsid w:val="003653F0"/>
    <w:rsid w:val="00365C67"/>
    <w:rsid w:val="00366588"/>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11C"/>
    <w:rsid w:val="003F3D76"/>
    <w:rsid w:val="003F4307"/>
    <w:rsid w:val="003F436C"/>
    <w:rsid w:val="003F46D1"/>
    <w:rsid w:val="003F694C"/>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5ED4"/>
    <w:rsid w:val="00446921"/>
    <w:rsid w:val="004505D5"/>
    <w:rsid w:val="004508F4"/>
    <w:rsid w:val="004513A6"/>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A775E"/>
    <w:rsid w:val="004B01E1"/>
    <w:rsid w:val="004B0E42"/>
    <w:rsid w:val="004B1375"/>
    <w:rsid w:val="004B1E5A"/>
    <w:rsid w:val="004B229D"/>
    <w:rsid w:val="004B3440"/>
    <w:rsid w:val="004B3870"/>
    <w:rsid w:val="004B4262"/>
    <w:rsid w:val="004B4F5F"/>
    <w:rsid w:val="004B5283"/>
    <w:rsid w:val="004B6176"/>
    <w:rsid w:val="004B686B"/>
    <w:rsid w:val="004B6B97"/>
    <w:rsid w:val="004B6DE2"/>
    <w:rsid w:val="004B7524"/>
    <w:rsid w:val="004C00A5"/>
    <w:rsid w:val="004C04DF"/>
    <w:rsid w:val="004C094C"/>
    <w:rsid w:val="004C0C33"/>
    <w:rsid w:val="004C0D4F"/>
    <w:rsid w:val="004C3495"/>
    <w:rsid w:val="004C3603"/>
    <w:rsid w:val="004C41DC"/>
    <w:rsid w:val="004C48D3"/>
    <w:rsid w:val="004C5A01"/>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062"/>
    <w:rsid w:val="00500476"/>
    <w:rsid w:val="005006F3"/>
    <w:rsid w:val="0050078D"/>
    <w:rsid w:val="005011EA"/>
    <w:rsid w:val="00501587"/>
    <w:rsid w:val="0050327B"/>
    <w:rsid w:val="005036B8"/>
    <w:rsid w:val="00505E6A"/>
    <w:rsid w:val="005063B3"/>
    <w:rsid w:val="0050694D"/>
    <w:rsid w:val="00506B77"/>
    <w:rsid w:val="0050759E"/>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8AC"/>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4BC"/>
    <w:rsid w:val="00595549"/>
    <w:rsid w:val="00595A0A"/>
    <w:rsid w:val="00596454"/>
    <w:rsid w:val="0059698A"/>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3FCF"/>
    <w:rsid w:val="006142A3"/>
    <w:rsid w:val="00614E4B"/>
    <w:rsid w:val="00614F22"/>
    <w:rsid w:val="00614FC8"/>
    <w:rsid w:val="0061540B"/>
    <w:rsid w:val="006161C0"/>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0151"/>
    <w:rsid w:val="00650DA3"/>
    <w:rsid w:val="00651ADE"/>
    <w:rsid w:val="00651B8F"/>
    <w:rsid w:val="00651CF2"/>
    <w:rsid w:val="00651E3F"/>
    <w:rsid w:val="0065271C"/>
    <w:rsid w:val="006529FD"/>
    <w:rsid w:val="00652AAC"/>
    <w:rsid w:val="00652CF2"/>
    <w:rsid w:val="0065387D"/>
    <w:rsid w:val="00653E5C"/>
    <w:rsid w:val="00653EEC"/>
    <w:rsid w:val="0065505C"/>
    <w:rsid w:val="00655397"/>
    <w:rsid w:val="006557B0"/>
    <w:rsid w:val="00655B8B"/>
    <w:rsid w:val="00656568"/>
    <w:rsid w:val="00656C47"/>
    <w:rsid w:val="006573F3"/>
    <w:rsid w:val="0065795B"/>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41D2"/>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B50"/>
    <w:rsid w:val="00687C17"/>
    <w:rsid w:val="00687F1F"/>
    <w:rsid w:val="0069017A"/>
    <w:rsid w:val="00690490"/>
    <w:rsid w:val="006918EE"/>
    <w:rsid w:val="00691F11"/>
    <w:rsid w:val="00692682"/>
    <w:rsid w:val="00692A6A"/>
    <w:rsid w:val="00692F61"/>
    <w:rsid w:val="00692F75"/>
    <w:rsid w:val="0069304D"/>
    <w:rsid w:val="00693933"/>
    <w:rsid w:val="00693F98"/>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022"/>
    <w:rsid w:val="006B0442"/>
    <w:rsid w:val="006B04EF"/>
    <w:rsid w:val="006B2AF3"/>
    <w:rsid w:val="006B4BDB"/>
    <w:rsid w:val="006B50FA"/>
    <w:rsid w:val="006B6698"/>
    <w:rsid w:val="006B6F08"/>
    <w:rsid w:val="006C0355"/>
    <w:rsid w:val="006C10B9"/>
    <w:rsid w:val="006C1590"/>
    <w:rsid w:val="006C225D"/>
    <w:rsid w:val="006C29CF"/>
    <w:rsid w:val="006C2B2A"/>
    <w:rsid w:val="006C2FB8"/>
    <w:rsid w:val="006C2FC4"/>
    <w:rsid w:val="006C3083"/>
    <w:rsid w:val="006C37D5"/>
    <w:rsid w:val="006C38FB"/>
    <w:rsid w:val="006C39BE"/>
    <w:rsid w:val="006C3AE8"/>
    <w:rsid w:val="006C3EF4"/>
    <w:rsid w:val="006C3F66"/>
    <w:rsid w:val="006C427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82B"/>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6DE0"/>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897"/>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B8B"/>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6E2A"/>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370"/>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78D"/>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2CF5"/>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0F40"/>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3F20"/>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283"/>
    <w:rsid w:val="0085060C"/>
    <w:rsid w:val="008506C7"/>
    <w:rsid w:val="00850BE3"/>
    <w:rsid w:val="00850CA7"/>
    <w:rsid w:val="00851BF7"/>
    <w:rsid w:val="0085424E"/>
    <w:rsid w:val="008544B2"/>
    <w:rsid w:val="00854C9E"/>
    <w:rsid w:val="00854FC3"/>
    <w:rsid w:val="0085538E"/>
    <w:rsid w:val="008555D4"/>
    <w:rsid w:val="0085570D"/>
    <w:rsid w:val="008558CB"/>
    <w:rsid w:val="00856B3C"/>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26B"/>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B5B"/>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3DF1"/>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524"/>
    <w:rsid w:val="00950F71"/>
    <w:rsid w:val="00950F82"/>
    <w:rsid w:val="00952AC1"/>
    <w:rsid w:val="00953C35"/>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88B"/>
    <w:rsid w:val="00963F1B"/>
    <w:rsid w:val="009642CA"/>
    <w:rsid w:val="00964981"/>
    <w:rsid w:val="00965EA2"/>
    <w:rsid w:val="009673B5"/>
    <w:rsid w:val="00967702"/>
    <w:rsid w:val="00967D7D"/>
    <w:rsid w:val="00970A7C"/>
    <w:rsid w:val="00971527"/>
    <w:rsid w:val="009715AD"/>
    <w:rsid w:val="0097246A"/>
    <w:rsid w:val="00973033"/>
    <w:rsid w:val="0097380E"/>
    <w:rsid w:val="00973F4F"/>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C7927"/>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0CC7"/>
    <w:rsid w:val="00A0177A"/>
    <w:rsid w:val="00A01B38"/>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38B"/>
    <w:rsid w:val="00A12522"/>
    <w:rsid w:val="00A125AC"/>
    <w:rsid w:val="00A128AA"/>
    <w:rsid w:val="00A132B9"/>
    <w:rsid w:val="00A133FA"/>
    <w:rsid w:val="00A13C02"/>
    <w:rsid w:val="00A13E0A"/>
    <w:rsid w:val="00A14AD1"/>
    <w:rsid w:val="00A14D63"/>
    <w:rsid w:val="00A1525D"/>
    <w:rsid w:val="00A15587"/>
    <w:rsid w:val="00A16529"/>
    <w:rsid w:val="00A16564"/>
    <w:rsid w:val="00A17D3C"/>
    <w:rsid w:val="00A21108"/>
    <w:rsid w:val="00A21F09"/>
    <w:rsid w:val="00A23157"/>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CD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0C19"/>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57B"/>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50A"/>
    <w:rsid w:val="00AC49CD"/>
    <w:rsid w:val="00AC4A04"/>
    <w:rsid w:val="00AC4C23"/>
    <w:rsid w:val="00AC5600"/>
    <w:rsid w:val="00AC5B21"/>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487"/>
    <w:rsid w:val="00AE3836"/>
    <w:rsid w:val="00AE45C3"/>
    <w:rsid w:val="00AE4865"/>
    <w:rsid w:val="00AE574C"/>
    <w:rsid w:val="00AE5A18"/>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B00884"/>
    <w:rsid w:val="00B00E46"/>
    <w:rsid w:val="00B02280"/>
    <w:rsid w:val="00B0307A"/>
    <w:rsid w:val="00B068F8"/>
    <w:rsid w:val="00B06DCC"/>
    <w:rsid w:val="00B06E3B"/>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1F0A"/>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0ADB"/>
    <w:rsid w:val="00B4168E"/>
    <w:rsid w:val="00B42721"/>
    <w:rsid w:val="00B42DD2"/>
    <w:rsid w:val="00B42FE9"/>
    <w:rsid w:val="00B43911"/>
    <w:rsid w:val="00B43B08"/>
    <w:rsid w:val="00B44C48"/>
    <w:rsid w:val="00B45243"/>
    <w:rsid w:val="00B452D1"/>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4AF"/>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A8F"/>
    <w:rsid w:val="00BB4D3C"/>
    <w:rsid w:val="00BB6158"/>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3E58"/>
    <w:rsid w:val="00BE454B"/>
    <w:rsid w:val="00BE4AEE"/>
    <w:rsid w:val="00BE5C1E"/>
    <w:rsid w:val="00BE5F9E"/>
    <w:rsid w:val="00BE64A0"/>
    <w:rsid w:val="00BE6DE9"/>
    <w:rsid w:val="00BE703B"/>
    <w:rsid w:val="00BF1E3E"/>
    <w:rsid w:val="00BF2130"/>
    <w:rsid w:val="00BF237C"/>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2CB6"/>
    <w:rsid w:val="00C13140"/>
    <w:rsid w:val="00C13336"/>
    <w:rsid w:val="00C1339D"/>
    <w:rsid w:val="00C14A6F"/>
    <w:rsid w:val="00C157BC"/>
    <w:rsid w:val="00C15B76"/>
    <w:rsid w:val="00C15D4C"/>
    <w:rsid w:val="00C1609D"/>
    <w:rsid w:val="00C1779B"/>
    <w:rsid w:val="00C177A7"/>
    <w:rsid w:val="00C20C82"/>
    <w:rsid w:val="00C21B81"/>
    <w:rsid w:val="00C21FA8"/>
    <w:rsid w:val="00C222BD"/>
    <w:rsid w:val="00C22EF0"/>
    <w:rsid w:val="00C23924"/>
    <w:rsid w:val="00C23A86"/>
    <w:rsid w:val="00C23DE0"/>
    <w:rsid w:val="00C2516D"/>
    <w:rsid w:val="00C25736"/>
    <w:rsid w:val="00C25BCD"/>
    <w:rsid w:val="00C2611C"/>
    <w:rsid w:val="00C2635E"/>
    <w:rsid w:val="00C263EE"/>
    <w:rsid w:val="00C27E8B"/>
    <w:rsid w:val="00C27F3B"/>
    <w:rsid w:val="00C30887"/>
    <w:rsid w:val="00C3184F"/>
    <w:rsid w:val="00C33AAC"/>
    <w:rsid w:val="00C33CB5"/>
    <w:rsid w:val="00C33FBB"/>
    <w:rsid w:val="00C34106"/>
    <w:rsid w:val="00C34E41"/>
    <w:rsid w:val="00C3546E"/>
    <w:rsid w:val="00C35CFA"/>
    <w:rsid w:val="00C35E15"/>
    <w:rsid w:val="00C35F9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2E8"/>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499"/>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727"/>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25C"/>
    <w:rsid w:val="00CF1B85"/>
    <w:rsid w:val="00CF215A"/>
    <w:rsid w:val="00CF22C0"/>
    <w:rsid w:val="00CF2709"/>
    <w:rsid w:val="00CF3459"/>
    <w:rsid w:val="00CF34BC"/>
    <w:rsid w:val="00CF35A1"/>
    <w:rsid w:val="00CF373E"/>
    <w:rsid w:val="00CF3990"/>
    <w:rsid w:val="00CF3C3A"/>
    <w:rsid w:val="00CF483E"/>
    <w:rsid w:val="00CF651B"/>
    <w:rsid w:val="00CF77A5"/>
    <w:rsid w:val="00CF7BE2"/>
    <w:rsid w:val="00CF7FA4"/>
    <w:rsid w:val="00D0041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75"/>
    <w:rsid w:val="00D3588A"/>
    <w:rsid w:val="00D35BF9"/>
    <w:rsid w:val="00D35D79"/>
    <w:rsid w:val="00D40575"/>
    <w:rsid w:val="00D4138F"/>
    <w:rsid w:val="00D41EDF"/>
    <w:rsid w:val="00D41FA8"/>
    <w:rsid w:val="00D424C9"/>
    <w:rsid w:val="00D427F6"/>
    <w:rsid w:val="00D438E7"/>
    <w:rsid w:val="00D43CDE"/>
    <w:rsid w:val="00D45A59"/>
    <w:rsid w:val="00D45EC9"/>
    <w:rsid w:val="00D46621"/>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371E"/>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2E7"/>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1C5A"/>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072F"/>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28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C6C0F"/>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12C0"/>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D"/>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D3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E57"/>
    <w:rsid w:val="00F52FCD"/>
    <w:rsid w:val="00F533EA"/>
    <w:rsid w:val="00F53603"/>
    <w:rsid w:val="00F5368D"/>
    <w:rsid w:val="00F53866"/>
    <w:rsid w:val="00F53A75"/>
    <w:rsid w:val="00F53B9F"/>
    <w:rsid w:val="00F53D99"/>
    <w:rsid w:val="00F53ED2"/>
    <w:rsid w:val="00F53FEA"/>
    <w:rsid w:val="00F5521F"/>
    <w:rsid w:val="00F57278"/>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67745"/>
    <w:rsid w:val="00F702AD"/>
    <w:rsid w:val="00F7051A"/>
    <w:rsid w:val="00F7132D"/>
    <w:rsid w:val="00F71A92"/>
    <w:rsid w:val="00F71D1C"/>
    <w:rsid w:val="00F7260A"/>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EC3"/>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3E4D"/>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320"/>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5E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F3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FF5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2455">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028047">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6969060">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161221">
      <w:bodyDiv w:val="1"/>
      <w:marLeft w:val="0"/>
      <w:marRight w:val="0"/>
      <w:marTop w:val="0"/>
      <w:marBottom w:val="0"/>
      <w:divBdr>
        <w:top w:val="none" w:sz="0" w:space="0" w:color="auto"/>
        <w:left w:val="none" w:sz="0" w:space="0" w:color="auto"/>
        <w:bottom w:val="none" w:sz="0" w:space="0" w:color="auto"/>
        <w:right w:val="none" w:sz="0" w:space="0" w:color="auto"/>
      </w:divBdr>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5886356">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51021657">
      <w:bodyDiv w:val="1"/>
      <w:marLeft w:val="0"/>
      <w:marRight w:val="0"/>
      <w:marTop w:val="0"/>
      <w:marBottom w:val="0"/>
      <w:divBdr>
        <w:top w:val="none" w:sz="0" w:space="0" w:color="auto"/>
        <w:left w:val="none" w:sz="0" w:space="0" w:color="auto"/>
        <w:bottom w:val="none" w:sz="0" w:space="0" w:color="auto"/>
        <w:right w:val="none" w:sz="0" w:space="0" w:color="auto"/>
      </w:divBdr>
    </w:div>
    <w:div w:id="452092924">
      <w:bodyDiv w:val="1"/>
      <w:marLeft w:val="0"/>
      <w:marRight w:val="0"/>
      <w:marTop w:val="0"/>
      <w:marBottom w:val="0"/>
      <w:divBdr>
        <w:top w:val="none" w:sz="0" w:space="0" w:color="auto"/>
        <w:left w:val="none" w:sz="0" w:space="0" w:color="auto"/>
        <w:bottom w:val="none" w:sz="0" w:space="0" w:color="auto"/>
        <w:right w:val="none" w:sz="0" w:space="0" w:color="auto"/>
      </w:divBdr>
    </w:div>
    <w:div w:id="4611139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9141016">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687909">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4146005">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928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1583212">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853026">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5758625">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1518494">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3437105">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71341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447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7/Docs/R4-252164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52</TotalTime>
  <Pages>3</Pages>
  <Words>645</Words>
  <Characters>3681</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15</cp:revision>
  <cp:lastPrinted>2016-08-05T18:54:00Z</cp:lastPrinted>
  <dcterms:created xsi:type="dcterms:W3CDTF">2025-08-10T06:25:00Z</dcterms:created>
  <dcterms:modified xsi:type="dcterms:W3CDTF">2026-01-30T00:36:00Z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